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3A1" w:rsidRPr="003A794B" w:rsidRDefault="0012657F">
      <w:r w:rsidRPr="003A794B">
        <w:t>Amend Section 16 of the By-Laws</w:t>
      </w:r>
    </w:p>
    <w:p w:rsidR="0012657F" w:rsidRPr="003A794B" w:rsidRDefault="0012657F" w:rsidP="0012657F">
      <w:pPr>
        <w:rPr>
          <w:b/>
          <w:iCs/>
        </w:rPr>
      </w:pPr>
      <w:proofErr w:type="gramStart"/>
      <w:r w:rsidRPr="003A794B">
        <w:rPr>
          <w:b/>
          <w:iCs/>
        </w:rPr>
        <w:t>Section 16.</w:t>
      </w:r>
      <w:proofErr w:type="gramEnd"/>
      <w:r w:rsidRPr="003A794B">
        <w:rPr>
          <w:b/>
          <w:iCs/>
        </w:rPr>
        <w:t xml:space="preserve">  Committees of the Membership</w:t>
      </w:r>
    </w:p>
    <w:p w:rsidR="0012657F" w:rsidRPr="003A794B" w:rsidRDefault="0012657F" w:rsidP="0012657F">
      <w:pPr>
        <w:rPr>
          <w:b/>
          <w:iCs/>
        </w:rPr>
      </w:pPr>
    </w:p>
    <w:p w:rsidR="0012657F" w:rsidRPr="003A794B" w:rsidRDefault="0012657F" w:rsidP="0012657F">
      <w:pPr>
        <w:rPr>
          <w:iCs/>
        </w:rPr>
      </w:pPr>
      <w:r w:rsidRPr="003A794B">
        <w:rPr>
          <w:b/>
          <w:iCs/>
        </w:rPr>
        <w:t>Homeless Management Information System Committee</w:t>
      </w:r>
      <w:r w:rsidRPr="003A794B">
        <w:rPr>
          <w:iCs/>
        </w:rPr>
        <w:t xml:space="preserve"> –This committee will oversee the Continuum of Care’s compliance with the HMIS standards as established by HUD. This committee will consist of no fewer than 7 members all of whom are representatives of the users of HMIS.</w:t>
      </w:r>
    </w:p>
    <w:p w:rsidR="0012657F" w:rsidRPr="003A794B" w:rsidRDefault="0012657F" w:rsidP="0012657F">
      <w:pPr>
        <w:rPr>
          <w:iCs/>
        </w:rPr>
      </w:pPr>
    </w:p>
    <w:p w:rsidR="0012657F" w:rsidRPr="003A794B" w:rsidRDefault="0012657F" w:rsidP="0012657F">
      <w:pPr>
        <w:spacing w:line="239" w:lineRule="auto"/>
        <w:ind w:right="207"/>
        <w:jc w:val="both"/>
        <w:rPr>
          <w:rFonts w:cs="Calibri"/>
        </w:rPr>
      </w:pPr>
      <w:r w:rsidRPr="003A794B">
        <w:rPr>
          <w:b/>
          <w:iCs/>
        </w:rPr>
        <w:t>Independent Project Selection Committee</w:t>
      </w:r>
      <w:r w:rsidRPr="003A794B">
        <w:rPr>
          <w:iCs/>
        </w:rPr>
        <w:t xml:space="preserve"> – This committee is charged with the responsibility of reviewing and scoring local Continuum of Care applications for </w:t>
      </w:r>
      <w:bookmarkStart w:id="0" w:name="_GoBack"/>
      <w:bookmarkEnd w:id="0"/>
      <w:r w:rsidRPr="003A794B">
        <w:rPr>
          <w:iCs/>
        </w:rPr>
        <w:t xml:space="preserve">funding and deciding which applications will go forward into the HUD Continuum of Care application and determine funding levels for each application. </w:t>
      </w:r>
      <w:r w:rsidRPr="003A794B">
        <w:rPr>
          <w:rFonts w:cs="Calibri"/>
          <w:spacing w:val="1"/>
        </w:rPr>
        <w:t>This committee</w:t>
      </w:r>
      <w:r w:rsidRPr="003A794B">
        <w:rPr>
          <w:rFonts w:cs="Calibri"/>
        </w:rPr>
        <w:t xml:space="preserve"> shall have a minimum of 7 members, selected by the Corporation’s Executive Director, in his or her capacity as the local convener of the Continuum of Care process, to ensure proper representation from the private sector, the public sector, and organizations that serve various homeless sub-populations.</w:t>
      </w:r>
      <w:r w:rsidRPr="003A794B">
        <w:rPr>
          <w:rFonts w:cs="Calibri"/>
          <w:spacing w:val="2"/>
        </w:rPr>
        <w:t xml:space="preserve"> </w:t>
      </w:r>
      <w:r w:rsidRPr="003A794B">
        <w:rPr>
          <w:rFonts w:cs="Calibri"/>
        </w:rPr>
        <w:t xml:space="preserve"> </w:t>
      </w:r>
      <w:r w:rsidRPr="003A794B">
        <w:rPr>
          <w:rFonts w:cs="Calibri"/>
          <w:spacing w:val="1"/>
        </w:rPr>
        <w:t>A</w:t>
      </w:r>
      <w:r w:rsidRPr="003A794B">
        <w:rPr>
          <w:rFonts w:cs="Calibri"/>
        </w:rPr>
        <w:t>tt</w:t>
      </w:r>
      <w:r w:rsidRPr="003A794B">
        <w:rPr>
          <w:rFonts w:cs="Calibri"/>
          <w:spacing w:val="-2"/>
        </w:rPr>
        <w:t>e</w:t>
      </w:r>
      <w:r w:rsidRPr="003A794B">
        <w:rPr>
          <w:rFonts w:cs="Calibri"/>
        </w:rPr>
        <w:t>mpts</w:t>
      </w:r>
      <w:r w:rsidRPr="003A794B">
        <w:rPr>
          <w:rFonts w:cs="Calibri"/>
          <w:spacing w:val="-1"/>
        </w:rPr>
        <w:t xml:space="preserve"> w</w:t>
      </w:r>
      <w:r w:rsidRPr="003A794B">
        <w:rPr>
          <w:rFonts w:cs="Calibri"/>
          <w:spacing w:val="-2"/>
        </w:rPr>
        <w:t>i</w:t>
      </w:r>
      <w:r w:rsidRPr="003A794B">
        <w:rPr>
          <w:rFonts w:cs="Calibri"/>
        </w:rPr>
        <w:t xml:space="preserve">ll </w:t>
      </w:r>
      <w:r w:rsidRPr="003A794B">
        <w:rPr>
          <w:rFonts w:cs="Calibri"/>
          <w:spacing w:val="-2"/>
        </w:rPr>
        <w:t>b</w:t>
      </w:r>
      <w:r w:rsidRPr="003A794B">
        <w:rPr>
          <w:rFonts w:cs="Calibri"/>
        </w:rPr>
        <w:t>e</w:t>
      </w:r>
      <w:r w:rsidRPr="003A794B">
        <w:rPr>
          <w:rFonts w:cs="Calibri"/>
          <w:spacing w:val="-2"/>
        </w:rPr>
        <w:t xml:space="preserve"> </w:t>
      </w:r>
      <w:r w:rsidRPr="003A794B">
        <w:rPr>
          <w:rFonts w:cs="Calibri"/>
        </w:rPr>
        <w:t>m</w:t>
      </w:r>
      <w:r w:rsidRPr="003A794B">
        <w:rPr>
          <w:rFonts w:cs="Calibri"/>
          <w:spacing w:val="1"/>
        </w:rPr>
        <w:t>a</w:t>
      </w:r>
      <w:r w:rsidRPr="003A794B">
        <w:rPr>
          <w:rFonts w:cs="Calibri"/>
        </w:rPr>
        <w:t>de</w:t>
      </w:r>
      <w:r w:rsidRPr="003A794B">
        <w:rPr>
          <w:rFonts w:cs="Calibri"/>
          <w:spacing w:val="-2"/>
        </w:rPr>
        <w:t xml:space="preserve"> </w:t>
      </w:r>
      <w:r w:rsidRPr="003A794B">
        <w:rPr>
          <w:rFonts w:cs="Calibri"/>
        </w:rPr>
        <w:t>to u</w:t>
      </w:r>
      <w:r w:rsidRPr="003A794B">
        <w:rPr>
          <w:rFonts w:cs="Calibri"/>
          <w:spacing w:val="-1"/>
        </w:rPr>
        <w:t>s</w:t>
      </w:r>
      <w:r w:rsidRPr="003A794B">
        <w:rPr>
          <w:rFonts w:cs="Calibri"/>
        </w:rPr>
        <w:t>e</w:t>
      </w:r>
      <w:r w:rsidRPr="003A794B">
        <w:rPr>
          <w:rFonts w:cs="Calibri"/>
          <w:spacing w:val="1"/>
        </w:rPr>
        <w:t xml:space="preserve"> </w:t>
      </w:r>
      <w:r w:rsidRPr="003A794B">
        <w:rPr>
          <w:rFonts w:cs="Calibri"/>
          <w:spacing w:val="-1"/>
        </w:rPr>
        <w:t>H</w:t>
      </w:r>
      <w:r w:rsidRPr="003A794B">
        <w:rPr>
          <w:rFonts w:cs="Calibri"/>
          <w:spacing w:val="-2"/>
        </w:rPr>
        <w:t>o</w:t>
      </w:r>
      <w:r w:rsidRPr="003A794B">
        <w:rPr>
          <w:rFonts w:cs="Calibri"/>
        </w:rPr>
        <w:t>m</w:t>
      </w:r>
      <w:r w:rsidRPr="003A794B">
        <w:rPr>
          <w:rFonts w:cs="Calibri"/>
          <w:spacing w:val="1"/>
        </w:rPr>
        <w:t>e</w:t>
      </w:r>
      <w:r w:rsidRPr="003A794B">
        <w:rPr>
          <w:rFonts w:cs="Calibri"/>
          <w:spacing w:val="-2"/>
        </w:rPr>
        <w:t>l</w:t>
      </w:r>
      <w:r w:rsidRPr="003A794B">
        <w:rPr>
          <w:rFonts w:cs="Calibri"/>
          <w:spacing w:val="1"/>
        </w:rPr>
        <w:t>e</w:t>
      </w:r>
      <w:r w:rsidRPr="003A794B">
        <w:rPr>
          <w:rFonts w:cs="Calibri"/>
          <w:spacing w:val="-1"/>
        </w:rPr>
        <w:t>s</w:t>
      </w:r>
      <w:r w:rsidRPr="003A794B">
        <w:rPr>
          <w:rFonts w:cs="Calibri"/>
        </w:rPr>
        <w:t>s</w:t>
      </w:r>
      <w:r w:rsidRPr="003A794B">
        <w:rPr>
          <w:rFonts w:cs="Calibri"/>
          <w:spacing w:val="-1"/>
        </w:rPr>
        <w:t xml:space="preserve"> A</w:t>
      </w:r>
      <w:r w:rsidRPr="003A794B">
        <w:rPr>
          <w:rFonts w:cs="Calibri"/>
          <w:spacing w:val="-2"/>
        </w:rPr>
        <w:t>l</w:t>
      </w:r>
      <w:r w:rsidRPr="003A794B">
        <w:rPr>
          <w:rFonts w:cs="Calibri"/>
        </w:rPr>
        <w:t>li</w:t>
      </w:r>
      <w:r w:rsidRPr="003A794B">
        <w:rPr>
          <w:rFonts w:cs="Calibri"/>
          <w:spacing w:val="1"/>
        </w:rPr>
        <w:t>a</w:t>
      </w:r>
      <w:r w:rsidRPr="003A794B">
        <w:rPr>
          <w:rFonts w:cs="Calibri"/>
          <w:spacing w:val="-2"/>
        </w:rPr>
        <w:t>n</w:t>
      </w:r>
      <w:r w:rsidRPr="003A794B">
        <w:rPr>
          <w:rFonts w:cs="Calibri"/>
          <w:spacing w:val="1"/>
        </w:rPr>
        <w:t>c</w:t>
      </w:r>
      <w:r w:rsidRPr="003A794B">
        <w:rPr>
          <w:rFonts w:cs="Calibri"/>
        </w:rPr>
        <w:t>e</w:t>
      </w:r>
      <w:r w:rsidRPr="003A794B">
        <w:rPr>
          <w:rFonts w:cs="Calibri"/>
          <w:spacing w:val="1"/>
        </w:rPr>
        <w:t xml:space="preserve"> </w:t>
      </w:r>
      <w:r w:rsidRPr="003A794B">
        <w:rPr>
          <w:rFonts w:cs="Calibri"/>
          <w:spacing w:val="-1"/>
        </w:rPr>
        <w:t>M</w:t>
      </w:r>
      <w:r w:rsidRPr="003A794B">
        <w:rPr>
          <w:rFonts w:cs="Calibri"/>
          <w:spacing w:val="-2"/>
        </w:rPr>
        <w:t>e</w:t>
      </w:r>
      <w:r w:rsidRPr="003A794B">
        <w:rPr>
          <w:rFonts w:cs="Calibri"/>
        </w:rPr>
        <w:t>mb</w:t>
      </w:r>
      <w:r w:rsidRPr="003A794B">
        <w:rPr>
          <w:rFonts w:cs="Calibri"/>
          <w:spacing w:val="-2"/>
        </w:rPr>
        <w:t>e</w:t>
      </w:r>
      <w:r w:rsidRPr="003A794B">
        <w:rPr>
          <w:rFonts w:cs="Calibri"/>
        </w:rPr>
        <w:t>rs</w:t>
      </w:r>
      <w:r w:rsidRPr="003A794B">
        <w:rPr>
          <w:rFonts w:cs="Calibri"/>
          <w:spacing w:val="-1"/>
        </w:rPr>
        <w:t xml:space="preserve"> w</w:t>
      </w:r>
      <w:r w:rsidRPr="003A794B">
        <w:rPr>
          <w:rFonts w:cs="Calibri"/>
        </w:rPr>
        <w:t>h</w:t>
      </w:r>
      <w:r w:rsidRPr="003A794B">
        <w:rPr>
          <w:rFonts w:cs="Calibri"/>
          <w:spacing w:val="1"/>
        </w:rPr>
        <w:t>e</w:t>
      </w:r>
      <w:r w:rsidRPr="003A794B">
        <w:rPr>
          <w:rFonts w:cs="Calibri"/>
        </w:rPr>
        <w:t>n</w:t>
      </w:r>
      <w:r w:rsidRPr="003A794B">
        <w:rPr>
          <w:rFonts w:cs="Calibri"/>
          <w:spacing w:val="1"/>
        </w:rPr>
        <w:t>e</w:t>
      </w:r>
      <w:r w:rsidRPr="003A794B">
        <w:rPr>
          <w:rFonts w:cs="Calibri"/>
          <w:spacing w:val="-2"/>
        </w:rPr>
        <w:t>v</w:t>
      </w:r>
      <w:r w:rsidRPr="003A794B">
        <w:rPr>
          <w:rFonts w:cs="Calibri"/>
          <w:spacing w:val="1"/>
        </w:rPr>
        <w:t>e</w:t>
      </w:r>
      <w:r w:rsidRPr="003A794B">
        <w:rPr>
          <w:rFonts w:cs="Calibri"/>
        </w:rPr>
        <w:t>r</w:t>
      </w:r>
      <w:r w:rsidRPr="003A794B">
        <w:rPr>
          <w:rFonts w:cs="Calibri"/>
          <w:spacing w:val="-2"/>
        </w:rPr>
        <w:t xml:space="preserve"> </w:t>
      </w:r>
      <w:r w:rsidRPr="003A794B">
        <w:rPr>
          <w:rFonts w:cs="Calibri"/>
        </w:rPr>
        <w:t>po</w:t>
      </w:r>
      <w:r w:rsidRPr="003A794B">
        <w:rPr>
          <w:rFonts w:cs="Calibri"/>
          <w:spacing w:val="-1"/>
        </w:rPr>
        <w:t>ss</w:t>
      </w:r>
      <w:r w:rsidRPr="003A794B">
        <w:rPr>
          <w:rFonts w:cs="Calibri"/>
        </w:rPr>
        <w:t>ibl</w:t>
      </w:r>
      <w:r w:rsidRPr="003A794B">
        <w:rPr>
          <w:rFonts w:cs="Calibri"/>
          <w:spacing w:val="1"/>
        </w:rPr>
        <w:t>e, however</w:t>
      </w:r>
      <w:r w:rsidRPr="003A794B">
        <w:rPr>
          <w:rFonts w:cs="Calibri"/>
          <w:spacing w:val="-1"/>
        </w:rPr>
        <w:t xml:space="preserve"> m</w:t>
      </w:r>
      <w:r w:rsidRPr="003A794B">
        <w:rPr>
          <w:rFonts w:cs="Calibri"/>
          <w:spacing w:val="1"/>
        </w:rPr>
        <w:t>e</w:t>
      </w:r>
      <w:r w:rsidRPr="003A794B">
        <w:rPr>
          <w:rFonts w:cs="Calibri"/>
        </w:rPr>
        <w:t>mb</w:t>
      </w:r>
      <w:r w:rsidRPr="003A794B">
        <w:rPr>
          <w:rFonts w:cs="Calibri"/>
          <w:spacing w:val="1"/>
        </w:rPr>
        <w:t>e</w:t>
      </w:r>
      <w:r w:rsidRPr="003A794B">
        <w:rPr>
          <w:rFonts w:cs="Calibri"/>
        </w:rPr>
        <w:t>rs</w:t>
      </w:r>
      <w:r w:rsidRPr="003A794B">
        <w:rPr>
          <w:rFonts w:cs="Calibri"/>
          <w:spacing w:val="-1"/>
        </w:rPr>
        <w:t xml:space="preserve"> </w:t>
      </w:r>
      <w:r w:rsidRPr="003A794B">
        <w:rPr>
          <w:rFonts w:cs="Calibri"/>
        </w:rPr>
        <w:t>of</w:t>
      </w:r>
      <w:r w:rsidRPr="003A794B">
        <w:rPr>
          <w:rFonts w:cs="Calibri"/>
          <w:spacing w:val="-2"/>
        </w:rPr>
        <w:t xml:space="preserve"> </w:t>
      </w:r>
      <w:r w:rsidRPr="003A794B">
        <w:rPr>
          <w:rFonts w:cs="Calibri"/>
        </w:rPr>
        <w:t>the</w:t>
      </w:r>
      <w:r w:rsidRPr="003A794B">
        <w:rPr>
          <w:rFonts w:cs="Calibri"/>
          <w:spacing w:val="1"/>
        </w:rPr>
        <w:t xml:space="preserve"> </w:t>
      </w:r>
      <w:r w:rsidRPr="003A794B">
        <w:rPr>
          <w:rFonts w:cs="Calibri"/>
        </w:rPr>
        <w:t>Project Selection Co</w:t>
      </w:r>
      <w:r w:rsidRPr="003A794B">
        <w:rPr>
          <w:rFonts w:cs="Calibri"/>
          <w:spacing w:val="-2"/>
        </w:rPr>
        <w:t>m</w:t>
      </w:r>
      <w:r w:rsidRPr="003A794B">
        <w:rPr>
          <w:rFonts w:cs="Calibri"/>
        </w:rPr>
        <w:t>mi</w:t>
      </w:r>
      <w:r w:rsidRPr="003A794B">
        <w:rPr>
          <w:rFonts w:cs="Calibri"/>
          <w:spacing w:val="-2"/>
        </w:rPr>
        <w:t>t</w:t>
      </w:r>
      <w:r w:rsidRPr="003A794B">
        <w:rPr>
          <w:rFonts w:cs="Calibri"/>
        </w:rPr>
        <w:t>t</w:t>
      </w:r>
      <w:r w:rsidRPr="003A794B">
        <w:rPr>
          <w:rFonts w:cs="Calibri"/>
          <w:spacing w:val="1"/>
        </w:rPr>
        <w:t>e</w:t>
      </w:r>
      <w:r w:rsidRPr="003A794B">
        <w:rPr>
          <w:rFonts w:cs="Calibri"/>
        </w:rPr>
        <w:t>e</w:t>
      </w:r>
      <w:r w:rsidRPr="003A794B">
        <w:rPr>
          <w:rFonts w:cs="Calibri"/>
          <w:spacing w:val="-2"/>
        </w:rPr>
        <w:t xml:space="preserve"> </w:t>
      </w:r>
      <w:r w:rsidRPr="003A794B">
        <w:rPr>
          <w:rFonts w:cs="Calibri"/>
        </w:rPr>
        <w:t>n</w:t>
      </w:r>
      <w:r w:rsidRPr="003A794B">
        <w:rPr>
          <w:rFonts w:cs="Calibri"/>
          <w:spacing w:val="-2"/>
        </w:rPr>
        <w:t>e</w:t>
      </w:r>
      <w:r w:rsidRPr="003A794B">
        <w:rPr>
          <w:rFonts w:cs="Calibri"/>
          <w:spacing w:val="1"/>
        </w:rPr>
        <w:t>e</w:t>
      </w:r>
      <w:r w:rsidRPr="003A794B">
        <w:rPr>
          <w:rFonts w:cs="Calibri"/>
        </w:rPr>
        <w:t xml:space="preserve">d not </w:t>
      </w:r>
      <w:r w:rsidRPr="003A794B">
        <w:rPr>
          <w:rFonts w:cs="Calibri"/>
          <w:spacing w:val="-2"/>
        </w:rPr>
        <w:t>b</w:t>
      </w:r>
      <w:r w:rsidRPr="003A794B">
        <w:rPr>
          <w:rFonts w:cs="Calibri"/>
        </w:rPr>
        <w:t>e</w:t>
      </w:r>
      <w:r w:rsidRPr="003A794B">
        <w:rPr>
          <w:rFonts w:cs="Calibri"/>
          <w:spacing w:val="1"/>
        </w:rPr>
        <w:t xml:space="preserve"> </w:t>
      </w:r>
      <w:r w:rsidRPr="003A794B">
        <w:rPr>
          <w:rFonts w:cs="Calibri"/>
          <w:spacing w:val="-2"/>
        </w:rPr>
        <w:t>m</w:t>
      </w:r>
      <w:r w:rsidRPr="003A794B">
        <w:rPr>
          <w:rFonts w:cs="Calibri"/>
          <w:spacing w:val="1"/>
        </w:rPr>
        <w:t>e</w:t>
      </w:r>
      <w:r w:rsidRPr="003A794B">
        <w:rPr>
          <w:rFonts w:cs="Calibri"/>
        </w:rPr>
        <w:t>m</w:t>
      </w:r>
      <w:r w:rsidRPr="003A794B">
        <w:rPr>
          <w:rFonts w:cs="Calibri"/>
          <w:spacing w:val="-2"/>
        </w:rPr>
        <w:t>be</w:t>
      </w:r>
      <w:r w:rsidRPr="003A794B">
        <w:rPr>
          <w:rFonts w:cs="Calibri"/>
        </w:rPr>
        <w:t>rs</w:t>
      </w:r>
      <w:r w:rsidRPr="003A794B">
        <w:rPr>
          <w:rFonts w:cs="Calibri"/>
          <w:spacing w:val="-1"/>
        </w:rPr>
        <w:t xml:space="preserve"> </w:t>
      </w:r>
      <w:r w:rsidRPr="003A794B">
        <w:rPr>
          <w:rFonts w:cs="Calibri"/>
        </w:rPr>
        <w:t>of</w:t>
      </w:r>
      <w:r w:rsidRPr="003A794B">
        <w:rPr>
          <w:rFonts w:cs="Calibri"/>
          <w:spacing w:val="-2"/>
        </w:rPr>
        <w:t xml:space="preserve"> </w:t>
      </w:r>
      <w:r w:rsidRPr="003A794B">
        <w:rPr>
          <w:rFonts w:cs="Calibri"/>
        </w:rPr>
        <w:t>the</w:t>
      </w:r>
      <w:r w:rsidRPr="003A794B">
        <w:rPr>
          <w:rFonts w:cs="Calibri"/>
          <w:spacing w:val="1"/>
        </w:rPr>
        <w:t xml:space="preserve"> </w:t>
      </w:r>
      <w:r w:rsidRPr="003A794B">
        <w:rPr>
          <w:rFonts w:cs="Calibri"/>
          <w:spacing w:val="-1"/>
        </w:rPr>
        <w:t>H</w:t>
      </w:r>
      <w:r w:rsidRPr="003A794B">
        <w:rPr>
          <w:rFonts w:cs="Calibri"/>
        </w:rPr>
        <w:t>om</w:t>
      </w:r>
      <w:r w:rsidRPr="003A794B">
        <w:rPr>
          <w:rFonts w:cs="Calibri"/>
          <w:spacing w:val="1"/>
        </w:rPr>
        <w:t>e</w:t>
      </w:r>
      <w:r w:rsidRPr="003A794B">
        <w:rPr>
          <w:rFonts w:cs="Calibri"/>
          <w:spacing w:val="-2"/>
        </w:rPr>
        <w:t>l</w:t>
      </w:r>
      <w:r w:rsidRPr="003A794B">
        <w:rPr>
          <w:rFonts w:cs="Calibri"/>
          <w:spacing w:val="1"/>
        </w:rPr>
        <w:t>e</w:t>
      </w:r>
      <w:r w:rsidRPr="003A794B">
        <w:rPr>
          <w:rFonts w:cs="Calibri"/>
          <w:spacing w:val="-1"/>
        </w:rPr>
        <w:t>s</w:t>
      </w:r>
      <w:r w:rsidRPr="003A794B">
        <w:rPr>
          <w:rFonts w:cs="Calibri"/>
        </w:rPr>
        <w:t>s</w:t>
      </w:r>
      <w:r w:rsidRPr="003A794B">
        <w:rPr>
          <w:rFonts w:cs="Calibri"/>
          <w:spacing w:val="-1"/>
        </w:rPr>
        <w:t xml:space="preserve"> A</w:t>
      </w:r>
      <w:r w:rsidRPr="003A794B">
        <w:rPr>
          <w:rFonts w:cs="Calibri"/>
        </w:rPr>
        <w:t>lli</w:t>
      </w:r>
      <w:r w:rsidRPr="003A794B">
        <w:rPr>
          <w:rFonts w:cs="Calibri"/>
          <w:spacing w:val="1"/>
        </w:rPr>
        <w:t>a</w:t>
      </w:r>
      <w:r w:rsidRPr="003A794B">
        <w:rPr>
          <w:rFonts w:cs="Calibri"/>
          <w:spacing w:val="-2"/>
        </w:rPr>
        <w:t>nc</w:t>
      </w:r>
      <w:r w:rsidRPr="003A794B">
        <w:rPr>
          <w:rFonts w:cs="Calibri"/>
          <w:spacing w:val="1"/>
        </w:rPr>
        <w:t>e</w:t>
      </w:r>
      <w:r w:rsidRPr="003A794B">
        <w:rPr>
          <w:rFonts w:cs="Calibri"/>
        </w:rPr>
        <w:t xml:space="preserve">. </w:t>
      </w:r>
    </w:p>
    <w:p w:rsidR="0012657F" w:rsidRPr="003A794B" w:rsidRDefault="0012657F" w:rsidP="0012657F">
      <w:pPr>
        <w:pStyle w:val="NormalWeb"/>
        <w:spacing w:before="0" w:beforeAutospacing="0" w:after="0" w:afterAutospacing="0"/>
        <w:rPr>
          <w:color w:val="FF0000"/>
          <w:sz w:val="22"/>
          <w:szCs w:val="22"/>
        </w:rPr>
      </w:pPr>
      <w:r w:rsidRPr="003A794B">
        <w:rPr>
          <w:rFonts w:ascii="Calibri" w:hAnsi="Calibri" w:cs="Calibri"/>
          <w:b/>
          <w:color w:val="FF0000"/>
          <w:sz w:val="22"/>
          <w:szCs w:val="22"/>
        </w:rPr>
        <w:t>Coordinated Entry Oversight Committee</w:t>
      </w:r>
      <w:r w:rsidRPr="003A794B">
        <w:rPr>
          <w:rFonts w:ascii="Calibri" w:hAnsi="Calibri" w:cs="Calibri"/>
          <w:color w:val="FF0000"/>
          <w:sz w:val="22"/>
          <w:szCs w:val="22"/>
        </w:rPr>
        <w:t xml:space="preserve"> - Members of the Coordinated Entry Oversight Committee are recruited to represent all homeless services providers, especially those who are involved in Coordinated Entry, including at least one representative from each program type: permanent supportive housing, transitional housing, outreach, shelter, youth services, Veteran services, DV service providers, a consumer, Niagara County, the GOW service area and the CE lead. This committee meets at least quarterly. The purposes of the committee are:</w:t>
      </w:r>
    </w:p>
    <w:p w:rsidR="003A794B" w:rsidRPr="003A794B" w:rsidRDefault="003A794B" w:rsidP="003A794B">
      <w:pPr>
        <w:pStyle w:val="NormalWeb"/>
        <w:numPr>
          <w:ilvl w:val="0"/>
          <w:numId w:val="3"/>
        </w:numPr>
        <w:spacing w:before="0" w:beforeAutospacing="0" w:after="0" w:afterAutospacing="0"/>
        <w:textAlignment w:val="baseline"/>
        <w:rPr>
          <w:rFonts w:ascii="Arial" w:hAnsi="Arial" w:cs="Arial"/>
          <w:color w:val="FF0000"/>
          <w:sz w:val="22"/>
          <w:szCs w:val="22"/>
        </w:rPr>
      </w:pPr>
      <w:r w:rsidRPr="003A794B">
        <w:rPr>
          <w:rFonts w:ascii="Arial" w:hAnsi="Arial" w:cs="Arial"/>
          <w:color w:val="FF0000"/>
          <w:sz w:val="22"/>
          <w:szCs w:val="22"/>
        </w:rPr>
        <w:t>Providing general oversight and support to the coordinated entry system in accordance with the CoC approved Written Standards.</w:t>
      </w:r>
    </w:p>
    <w:p w:rsidR="003A794B" w:rsidRPr="003A794B" w:rsidRDefault="003A794B" w:rsidP="003A794B">
      <w:pPr>
        <w:pStyle w:val="NormalWeb"/>
        <w:numPr>
          <w:ilvl w:val="0"/>
          <w:numId w:val="3"/>
        </w:numPr>
        <w:spacing w:before="0" w:beforeAutospacing="0" w:after="0" w:afterAutospacing="0"/>
        <w:textAlignment w:val="baseline"/>
        <w:rPr>
          <w:rFonts w:ascii="Arial" w:hAnsi="Arial" w:cs="Arial"/>
          <w:color w:val="FF0000"/>
          <w:sz w:val="22"/>
          <w:szCs w:val="22"/>
        </w:rPr>
      </w:pPr>
      <w:r w:rsidRPr="003A794B">
        <w:rPr>
          <w:rFonts w:ascii="Arial" w:hAnsi="Arial" w:cs="Arial"/>
          <w:color w:val="FF0000"/>
          <w:sz w:val="22"/>
          <w:szCs w:val="22"/>
        </w:rPr>
        <w:t xml:space="preserve">Responsible for developing and maintaining a process to receive and respond to grievances of participants and housing providers. Grievances that cannot be resolved by the coordinated entry lead agency and all provider appealed referrals will be forwarded to the oversight committee for resolution. </w:t>
      </w:r>
    </w:p>
    <w:p w:rsidR="003A794B" w:rsidRPr="003A794B" w:rsidRDefault="003A794B" w:rsidP="003A794B">
      <w:pPr>
        <w:pStyle w:val="NormalWeb"/>
        <w:numPr>
          <w:ilvl w:val="0"/>
          <w:numId w:val="3"/>
        </w:numPr>
        <w:spacing w:before="0" w:beforeAutospacing="0" w:after="0" w:afterAutospacing="0"/>
        <w:textAlignment w:val="baseline"/>
        <w:rPr>
          <w:rFonts w:ascii="Arial" w:hAnsi="Arial" w:cs="Arial"/>
          <w:color w:val="FF0000"/>
          <w:sz w:val="22"/>
          <w:szCs w:val="22"/>
        </w:rPr>
      </w:pPr>
      <w:r w:rsidRPr="003A794B">
        <w:rPr>
          <w:rFonts w:ascii="Arial" w:hAnsi="Arial" w:cs="Arial"/>
          <w:color w:val="FF0000"/>
          <w:sz w:val="22"/>
          <w:szCs w:val="22"/>
        </w:rPr>
        <w:t>Review and make final decision on Coordinated Entry related appeal.</w:t>
      </w:r>
    </w:p>
    <w:p w:rsidR="003A794B" w:rsidRPr="003A794B" w:rsidRDefault="003A794B" w:rsidP="003A794B">
      <w:pPr>
        <w:pStyle w:val="NormalWeb"/>
        <w:numPr>
          <w:ilvl w:val="0"/>
          <w:numId w:val="3"/>
        </w:numPr>
        <w:spacing w:before="0" w:beforeAutospacing="0" w:after="0" w:afterAutospacing="0"/>
        <w:textAlignment w:val="baseline"/>
        <w:rPr>
          <w:rFonts w:ascii="Arial" w:hAnsi="Arial" w:cs="Arial"/>
          <w:color w:val="FF0000"/>
          <w:sz w:val="22"/>
          <w:szCs w:val="22"/>
        </w:rPr>
      </w:pPr>
      <w:r w:rsidRPr="003A794B">
        <w:rPr>
          <w:rFonts w:ascii="Arial" w:hAnsi="Arial" w:cs="Arial"/>
          <w:color w:val="FF0000"/>
          <w:sz w:val="22"/>
          <w:szCs w:val="22"/>
        </w:rPr>
        <w:t xml:space="preserve">Evaluate the efficiency and effectiveness of the coordinated entry process by reviewing performance data and solicit feedback from participating projects and from households that participated in coordinated entry at least annually. </w:t>
      </w:r>
    </w:p>
    <w:p w:rsidR="003A794B" w:rsidRPr="003A794B" w:rsidRDefault="003A794B" w:rsidP="003A794B">
      <w:pPr>
        <w:pStyle w:val="NormalWeb"/>
        <w:numPr>
          <w:ilvl w:val="0"/>
          <w:numId w:val="3"/>
        </w:numPr>
        <w:spacing w:before="0" w:beforeAutospacing="0" w:after="0" w:afterAutospacing="0"/>
        <w:textAlignment w:val="baseline"/>
        <w:rPr>
          <w:rFonts w:ascii="Arial" w:hAnsi="Arial" w:cs="Arial"/>
          <w:color w:val="FF0000"/>
          <w:sz w:val="22"/>
          <w:szCs w:val="22"/>
        </w:rPr>
      </w:pPr>
      <w:r w:rsidRPr="003A794B">
        <w:rPr>
          <w:rFonts w:ascii="Arial" w:hAnsi="Arial" w:cs="Arial"/>
          <w:color w:val="FF0000"/>
          <w:sz w:val="22"/>
          <w:szCs w:val="22"/>
        </w:rPr>
        <w:t>Create an action plan to address issues identified through the oversight or evaluation of Coordinated Entry.</w:t>
      </w:r>
    </w:p>
    <w:p w:rsidR="003A794B" w:rsidRPr="003A794B" w:rsidRDefault="003A794B" w:rsidP="003A794B">
      <w:pPr>
        <w:pStyle w:val="NormalWeb"/>
        <w:numPr>
          <w:ilvl w:val="0"/>
          <w:numId w:val="3"/>
        </w:numPr>
        <w:spacing w:before="0" w:beforeAutospacing="0" w:after="0" w:afterAutospacing="0"/>
        <w:textAlignment w:val="baseline"/>
        <w:rPr>
          <w:rFonts w:ascii="Arial" w:hAnsi="Arial" w:cs="Arial"/>
          <w:color w:val="FF0000"/>
          <w:sz w:val="22"/>
          <w:szCs w:val="22"/>
        </w:rPr>
      </w:pPr>
      <w:r w:rsidRPr="003A794B">
        <w:rPr>
          <w:rFonts w:ascii="Arial" w:hAnsi="Arial" w:cs="Arial"/>
          <w:color w:val="FF0000"/>
          <w:sz w:val="22"/>
          <w:szCs w:val="22"/>
        </w:rPr>
        <w:t xml:space="preserve">Conducting an annual review of the Coordinated Entry Protocol. </w:t>
      </w:r>
    </w:p>
    <w:p w:rsidR="003A794B" w:rsidRPr="003A794B" w:rsidRDefault="003A794B" w:rsidP="003A794B">
      <w:pPr>
        <w:pStyle w:val="NormalWeb"/>
        <w:numPr>
          <w:ilvl w:val="0"/>
          <w:numId w:val="3"/>
        </w:numPr>
        <w:spacing w:before="0" w:beforeAutospacing="0" w:after="0" w:afterAutospacing="0"/>
        <w:textAlignment w:val="baseline"/>
        <w:rPr>
          <w:rFonts w:ascii="Arial" w:hAnsi="Arial" w:cs="Arial"/>
          <w:color w:val="FF0000"/>
          <w:sz w:val="22"/>
          <w:szCs w:val="22"/>
        </w:rPr>
      </w:pPr>
      <w:r w:rsidRPr="003A794B">
        <w:rPr>
          <w:rFonts w:ascii="Arial" w:hAnsi="Arial" w:cs="Arial"/>
          <w:color w:val="FF0000"/>
          <w:sz w:val="22"/>
          <w:szCs w:val="22"/>
        </w:rPr>
        <w:t>Establishing detailed client prioritization for receiving CoC or ESG funded program assistance based upon the approved CoC Written Standards.</w:t>
      </w:r>
    </w:p>
    <w:p w:rsidR="003A794B" w:rsidRPr="003A794B" w:rsidRDefault="003A794B" w:rsidP="003A794B">
      <w:pPr>
        <w:pStyle w:val="NormalWeb"/>
        <w:numPr>
          <w:ilvl w:val="0"/>
          <w:numId w:val="3"/>
        </w:numPr>
        <w:spacing w:before="0" w:beforeAutospacing="0" w:after="180" w:afterAutospacing="0"/>
        <w:textAlignment w:val="baseline"/>
        <w:rPr>
          <w:rFonts w:ascii="Arial" w:hAnsi="Arial" w:cs="Arial"/>
          <w:color w:val="FF0000"/>
          <w:sz w:val="22"/>
          <w:szCs w:val="22"/>
        </w:rPr>
      </w:pPr>
      <w:r w:rsidRPr="003A794B">
        <w:rPr>
          <w:rFonts w:ascii="Arial" w:hAnsi="Arial" w:cs="Arial"/>
          <w:color w:val="FF0000"/>
          <w:sz w:val="22"/>
          <w:szCs w:val="22"/>
        </w:rPr>
        <w:t xml:space="preserve">Review and approve policy changes or protocol improvements submitted by the coordinated entry lead agencies and subpopulation committees before the Board of the Homeless Alliance for final approval. </w:t>
      </w:r>
    </w:p>
    <w:p w:rsidR="0012657F" w:rsidRPr="0012657F" w:rsidRDefault="0012657F">
      <w:pPr>
        <w:rPr>
          <w:color w:val="FF0000"/>
        </w:rPr>
      </w:pPr>
    </w:p>
    <w:sectPr w:rsidR="0012657F" w:rsidRPr="001265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C65C5E"/>
    <w:multiLevelType w:val="multilevel"/>
    <w:tmpl w:val="A0C65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3505B39"/>
    <w:multiLevelType w:val="multilevel"/>
    <w:tmpl w:val="BE961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1A5434D"/>
    <w:multiLevelType w:val="multilevel"/>
    <w:tmpl w:val="3C2A8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57F"/>
    <w:rsid w:val="0012657F"/>
    <w:rsid w:val="001513A1"/>
    <w:rsid w:val="003A794B"/>
    <w:rsid w:val="00444821"/>
    <w:rsid w:val="00C54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2657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2657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947211">
      <w:bodyDiv w:val="1"/>
      <w:marLeft w:val="0"/>
      <w:marRight w:val="0"/>
      <w:marTop w:val="0"/>
      <w:marBottom w:val="0"/>
      <w:divBdr>
        <w:top w:val="none" w:sz="0" w:space="0" w:color="auto"/>
        <w:left w:val="none" w:sz="0" w:space="0" w:color="auto"/>
        <w:bottom w:val="none" w:sz="0" w:space="0" w:color="auto"/>
        <w:right w:val="none" w:sz="0" w:space="0" w:color="auto"/>
      </w:divBdr>
    </w:div>
    <w:div w:id="384107594">
      <w:bodyDiv w:val="1"/>
      <w:marLeft w:val="0"/>
      <w:marRight w:val="0"/>
      <w:marTop w:val="0"/>
      <w:marBottom w:val="0"/>
      <w:divBdr>
        <w:top w:val="none" w:sz="0" w:space="0" w:color="auto"/>
        <w:left w:val="none" w:sz="0" w:space="0" w:color="auto"/>
        <w:bottom w:val="none" w:sz="0" w:space="0" w:color="auto"/>
        <w:right w:val="none" w:sz="0" w:space="0" w:color="auto"/>
      </w:divBdr>
    </w:div>
    <w:div w:id="1096366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436</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Dale Zuchlewski</dc:creator>
  <cp:lastModifiedBy>Dale Zuchlewski</cp:lastModifiedBy>
  <cp:revision>3</cp:revision>
  <dcterms:created xsi:type="dcterms:W3CDTF">2018-01-04T17:30:00Z</dcterms:created>
  <dcterms:modified xsi:type="dcterms:W3CDTF">2018-01-05T15:07:00Z</dcterms:modified>
</cp:coreProperties>
</file>