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2/23/16 ESG and CoC Performance Roundtable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ES:Emergency Shelter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PSH: Permanent Supportive Housing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PH: Permanent Housing (usually referred to exit destinations like rental by clients with/without subsidy; Own by clients; staying with family or friends permanent tenure; Permanent supportive housing for previously homeless clients)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RRH:Rapid Rehousing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SH:Safe Haven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Successful housing/Safe housing: Need to be further defined. But generally besides PH listed above, also includes nursing home, hospital, psychiatric facility, treatment program etc.  --Also includes TH, family/friends with temporary tenure, Safe Haven, Hotel or Motel Paid by Client, and Institutional Settings (not Jail), and for ES, exit to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TH: Transitional Housing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PSH: Remained and Exit to PH: (First Quarter avg 97%, usually annual avg is around 92%) --&gt;92% benchmark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PSH: Exit to PH: (First Quarter avg. 51%) measure average at end of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 Find a way to look at criminal history at entry, see if it associated to high rate of criminal activity causing kick out or force out of programs.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PSH: from client accepted the program to housed, </w:t>
      </w:r>
      <w:r w:rsidDel="00000000" w:rsidR="00000000" w:rsidRPr="00000000">
        <w:rPr>
          <w:sz w:val="28"/>
          <w:szCs w:val="28"/>
          <w:rtl w:val="0"/>
        </w:rPr>
        <w:t xml:space="preserve">look at average at end of year (first quarterly 42 days)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SH &amp; TH:exit to PH---&gt; using HUD benchmark: 80%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For unaccompanied youth: exit to safe housing --&gt;90% (based on runaway youth fund outcomes)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Due to most Safe Haven and Transitional housing are single site or have dedicated unit, how quickly a person move in will not be measured.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ES: Exit to PH (annual avg 30%), 30% benchmark;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ES: exit to successful housing instead of PH(current annual avg. 33%) 40% benchmark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RRH: exit to PH--&gt;using HUD benchmark: 80%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sz w:val="28"/>
          <w:szCs w:val="28"/>
          <w:rtl w:val="0"/>
        </w:rPr>
        <w:t xml:space="preserve">RRH: from program entry to move in date, → using HUD benchmark: average 30 days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Recidivism: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Exit to permanent housing and return to homelessness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sz w:val="28"/>
          <w:szCs w:val="28"/>
          <w:rtl w:val="0"/>
        </w:rPr>
        <w:t xml:space="preserve">Within 6-12 months and within 2 years→ Not gonna score, but will keep it in quarterly report.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PH: measured but not scored (current avg. .07%)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TH: keep measuring but not scored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RRH: --&gt;HUD benchmark: 85% of households that exit a RRH program to PH should not become homeless again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within a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ES/Outreach: look at average at end of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*RRH: affordability (earnings at exit compared to housing cost)--watch but don’t score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Earned income (employment) &amp; Other cash income (e.g. SSI)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Currently compared to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All TH,SH, RRH and PSH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Increased earned income 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Increased other income 40%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Increased total income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Separate single and family, see if there is significant difference. But will probably score the same way the first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PSH/RRH:Had or Increased earned income--&gt; 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sz w:val="28"/>
          <w:szCs w:val="28"/>
          <w:rtl w:val="0"/>
        </w:rPr>
        <w:t xml:space="preserve">%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* find a way to measure substantial gainful employment and no mainstream benefit: watch and see how to measure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*Involved in education/vocational/community service activity: measure unaccompanied youth, adults, add to HMIS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Exclude those with full-time job, retired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Shelter/Outreach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Linkage/referral to non-cash benefit or healthcare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sz w:val="28"/>
          <w:szCs w:val="28"/>
          <w:rtl w:val="0"/>
        </w:rPr>
        <w:t xml:space="preserve">60% benchmark→ Will accept agency internal tracking this year. But will find ways to measure it in HMIS in the future.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Utilization rate (Based on an average of 4 PITs throughout the 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ES: will report in Quarterly report  but don’t score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PSH --&gt;95%, RRH, TH: measure and score 90%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What is considered low-performing? (Not enough time to discuss in detail)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Weight different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Rank by score, whoever falls in the bottom.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Prevention program was not discussed in this section. Could probably revisit in or after the next roundtable discussion.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Full points for if you meet the benchmark, improvement will be given some points as well.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